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outlineLvl w:val="0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sz w:val="36"/>
          <w:szCs w:val="36"/>
        </w:rPr>
        <w:t>附件</w:t>
      </w:r>
      <w:r>
        <w:rPr>
          <w:rFonts w:ascii="Times New Roman" w:hAnsi="Times New Roman" w:eastAsia="黑体"/>
          <w:b/>
          <w:bCs/>
          <w:sz w:val="36"/>
          <w:szCs w:val="36"/>
        </w:rPr>
        <w:t>5</w:t>
      </w:r>
    </w:p>
    <w:p>
      <w:pPr>
        <w:spacing w:beforeLines="50" w:afterLines="50" w:line="360" w:lineRule="auto"/>
        <w:jc w:val="center"/>
        <w:outlineLvl w:val="0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</w:rPr>
        <w:t>江西农大经管学院农林经济管理专业</w:t>
      </w:r>
      <w:r>
        <w:rPr>
          <w:rFonts w:ascii="Times New Roman" w:hAnsi="Times New Roman" w:eastAsia="华文中宋"/>
          <w:b/>
          <w:bCs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</w:rPr>
        <w:t>乡村振兴班</w:t>
      </w:r>
      <w:r>
        <w:rPr>
          <w:rFonts w:ascii="Times New Roman" w:hAnsi="Times New Roman" w:eastAsia="华文中宋"/>
          <w:b/>
          <w:bCs/>
          <w:color w:val="000000"/>
          <w:sz w:val="36"/>
          <w:szCs w:val="36"/>
        </w:rPr>
        <w:t>”</w:t>
      </w:r>
    </w:p>
    <w:p>
      <w:pPr>
        <w:spacing w:beforeLines="50" w:afterLines="50" w:line="360" w:lineRule="auto"/>
        <w:jc w:val="center"/>
        <w:outlineLvl w:val="0"/>
        <w:rPr>
          <w:rFonts w:ascii="Times New Roman" w:hAnsi="Times New Roman" w:eastAsia="华文中宋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color w:val="000000"/>
          <w:sz w:val="36"/>
          <w:szCs w:val="36"/>
        </w:rPr>
        <w:t>考核管理办法</w:t>
      </w:r>
    </w:p>
    <w:bookmarkEnd w:id="0"/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一、总</w:t>
      </w:r>
      <w:r>
        <w:rPr>
          <w:rFonts w:ascii="Times New Roman" w:hAnsi="Times New Roman" w:eastAsia="黑体"/>
          <w:b/>
          <w:color w:val="000000"/>
          <w:sz w:val="30"/>
          <w:szCs w:val="30"/>
        </w:rPr>
        <w:t xml:space="preserve">  </w:t>
      </w: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则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第一条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目的与意义：为发挥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临时党支部战斗堡垒与党员先锋模范带头作用，进一步强化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管理，建设良好班风、学风，最大程度地提高学生归属感和班级凝聚力，促进班级良好、健康、高质量发展，以提升人才培养质量，切实把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乡村振兴实验班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打造成为特色班、尖子班、示范班。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基本原则：根据江西农业大学大学生管理、教学管理、班级管理及学工管理等相关规章制度，本着科学、民主、公平、公开、公正原则，以达鼓励优秀、表扬先进、树立标杆、示范引领之效，特制定并执行《农林经济管理专业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考核管理办法》。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考核包括奖励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加分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和惩罚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减分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两部分，每人基础分设定为</w:t>
      </w:r>
      <w:r>
        <w:rPr>
          <w:rFonts w:ascii="Times New Roman" w:hAnsi="Times New Roman" w:eastAsia="仿宋"/>
          <w:color w:val="000000"/>
          <w:sz w:val="28"/>
          <w:szCs w:val="28"/>
        </w:rPr>
        <w:t>60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分，在</w:t>
      </w:r>
      <w:r>
        <w:rPr>
          <w:rFonts w:ascii="Times New Roman" w:hAnsi="Times New Roman" w:eastAsia="仿宋"/>
          <w:color w:val="000000"/>
          <w:sz w:val="28"/>
          <w:szCs w:val="28"/>
        </w:rPr>
        <w:t>60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分的基础上相加减最终得到考核评价总分。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第四条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根据</w:t>
      </w:r>
      <w:r>
        <w:rPr>
          <w:rFonts w:ascii="Times New Roman" w:hAnsi="Times New Roman" w:eastAsia="仿宋"/>
          <w:color w:val="000000"/>
          <w:sz w:val="28"/>
          <w:szCs w:val="28"/>
        </w:rPr>
        <w:t>“A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、优秀</w:t>
      </w:r>
      <w:r>
        <w:rPr>
          <w:rFonts w:ascii="Times New Roman" w:hAnsi="Times New Roman" w:eastAsia="仿宋"/>
          <w:color w:val="000000"/>
          <w:sz w:val="28"/>
          <w:szCs w:val="28"/>
        </w:rPr>
        <w:t>[90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</w:t>
      </w:r>
      <w:r>
        <w:rPr>
          <w:rFonts w:ascii="Times New Roman" w:hAnsi="Times New Roman" w:eastAsia="仿宋"/>
          <w:color w:val="000000"/>
          <w:sz w:val="28"/>
          <w:szCs w:val="28"/>
        </w:rPr>
        <w:t>100]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；</w:t>
      </w:r>
      <w:r>
        <w:rPr>
          <w:rFonts w:ascii="Times New Roman" w:hAnsi="Times New Roman" w:eastAsia="仿宋"/>
          <w:color w:val="000000"/>
          <w:sz w:val="28"/>
          <w:szCs w:val="28"/>
        </w:rPr>
        <w:t>B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、良好</w:t>
      </w:r>
      <w:r>
        <w:rPr>
          <w:rFonts w:ascii="Times New Roman" w:hAnsi="Times New Roman" w:eastAsia="仿宋"/>
          <w:color w:val="000000"/>
          <w:sz w:val="28"/>
          <w:szCs w:val="28"/>
        </w:rPr>
        <w:t>[80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</w:t>
      </w:r>
      <w:r>
        <w:rPr>
          <w:rFonts w:ascii="Times New Roman" w:hAnsi="Times New Roman" w:eastAsia="仿宋"/>
          <w:color w:val="000000"/>
          <w:sz w:val="28"/>
          <w:szCs w:val="28"/>
        </w:rPr>
        <w:t>89]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；</w:t>
      </w:r>
      <w:r>
        <w:rPr>
          <w:rFonts w:ascii="Times New Roman" w:hAnsi="Times New Roman" w:eastAsia="仿宋"/>
          <w:color w:val="000000"/>
          <w:sz w:val="28"/>
          <w:szCs w:val="28"/>
        </w:rPr>
        <w:t>C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、合格</w:t>
      </w:r>
      <w:r>
        <w:rPr>
          <w:rFonts w:ascii="Times New Roman" w:hAnsi="Times New Roman" w:eastAsia="仿宋"/>
          <w:color w:val="000000"/>
          <w:sz w:val="28"/>
          <w:szCs w:val="28"/>
        </w:rPr>
        <w:t>[60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</w:t>
      </w:r>
      <w:r>
        <w:rPr>
          <w:rFonts w:ascii="Times New Roman" w:hAnsi="Times New Roman" w:eastAsia="仿宋"/>
          <w:color w:val="000000"/>
          <w:sz w:val="28"/>
          <w:szCs w:val="28"/>
        </w:rPr>
        <w:t>79]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；</w:t>
      </w:r>
      <w:r>
        <w:rPr>
          <w:rFonts w:ascii="Times New Roman" w:hAnsi="Times New Roman" w:eastAsia="仿宋"/>
          <w:color w:val="000000"/>
          <w:sz w:val="28"/>
          <w:szCs w:val="28"/>
        </w:rPr>
        <w:t>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、不合格</w:t>
      </w:r>
      <w:r>
        <w:rPr>
          <w:rFonts w:ascii="Times New Roman" w:hAnsi="Times New Roman" w:eastAsia="仿宋"/>
          <w:color w:val="000000"/>
          <w:sz w:val="28"/>
          <w:szCs w:val="28"/>
        </w:rPr>
        <w:t>[0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</w:t>
      </w:r>
      <w:r>
        <w:rPr>
          <w:rFonts w:ascii="Times New Roman" w:hAnsi="Times New Roman" w:eastAsia="仿宋"/>
          <w:color w:val="000000"/>
          <w:sz w:val="28"/>
          <w:szCs w:val="28"/>
        </w:rPr>
        <w:t>60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）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确定考核评价等级。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第五条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若上一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两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学期专业平均成绩排名在全班</w:t>
      </w:r>
      <w:r>
        <w:rPr>
          <w:rFonts w:ascii="Times New Roman" w:hAnsi="Times New Roman" w:eastAsia="仿宋"/>
          <w:color w:val="000000"/>
          <w:sz w:val="28"/>
          <w:szCs w:val="28"/>
        </w:rPr>
        <w:t>50%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以外者直接论定为</w:t>
      </w:r>
      <w:r>
        <w:rPr>
          <w:rFonts w:ascii="Times New Roman" w:hAnsi="Times New Roman" w:eastAsia="仿宋"/>
          <w:color w:val="000000"/>
          <w:sz w:val="28"/>
          <w:szCs w:val="28"/>
        </w:rPr>
        <w:t>“D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、不合格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等级；若上一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两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学期专业平均成绩排名全班</w:t>
      </w:r>
      <w:r>
        <w:rPr>
          <w:rFonts w:ascii="Times New Roman" w:hAnsi="Times New Roman" w:eastAsia="仿宋"/>
          <w:color w:val="000000"/>
          <w:sz w:val="28"/>
          <w:szCs w:val="28"/>
        </w:rPr>
        <w:t>50%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以内，但考核结果在</w:t>
      </w:r>
      <w:r>
        <w:rPr>
          <w:rFonts w:ascii="Times New Roman" w:hAnsi="Times New Roman" w:eastAsia="仿宋"/>
          <w:color w:val="000000"/>
          <w:sz w:val="28"/>
          <w:szCs w:val="28"/>
        </w:rPr>
        <w:t>“D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、不合格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等级者也论定为</w:t>
      </w:r>
      <w:r>
        <w:rPr>
          <w:rFonts w:ascii="Times New Roman" w:hAnsi="Times New Roman" w:eastAsia="仿宋"/>
          <w:color w:val="000000"/>
          <w:sz w:val="28"/>
          <w:szCs w:val="28"/>
        </w:rPr>
        <w:t>“D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、不合格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等级。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第六条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考核不合格者自动实行滚动退出管理，并根据退出人员数量，在保持班级总人数不变的前提下，按照上一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两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学期专业平均成绩班级排名顺序，从退出成员所在班级进行等量遴选新增。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第七条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每年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月</w:t>
      </w:r>
      <w:r>
        <w:rPr>
          <w:rFonts w:ascii="Times New Roman" w:hAnsi="Times New Roman" w:eastAsia="仿宋"/>
          <w:color w:val="000000"/>
          <w:sz w:val="28"/>
          <w:szCs w:val="28"/>
        </w:rPr>
        <w:t>30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日、</w:t>
      </w:r>
      <w:r>
        <w:rPr>
          <w:rFonts w:ascii="Times New Roman" w:hAnsi="Times New Roman" w:eastAsia="仿宋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月</w:t>
      </w:r>
      <w:r>
        <w:rPr>
          <w:rFonts w:ascii="Times New Roman" w:hAnsi="Times New Roman" w:eastAsia="仿宋"/>
          <w:color w:val="000000"/>
          <w:sz w:val="28"/>
          <w:szCs w:val="28"/>
        </w:rPr>
        <w:t>31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日分别对全体同学考核评价。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二、例会考勤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第八条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 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实行每月召开一次例会制度，要求提前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分钟到场并在班长处签到。一学期全勤者额外奖励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分，一学年全勤者额外奖励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第九条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做到非必要不请假，确实需要请假，事前要履行正常的请假手续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填写附件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1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农林经济管理专业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请假条，找支部书记廖冰同志签字，并交给班长留存备查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，事后要进行销假。履行正常请假手续者不扣分；未履行正常请假手续但事后补假条者扣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分；未履行正常请假手续且未做任何说明者以旷论处扣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三、讲座</w:t>
      </w:r>
      <w:r>
        <w:rPr>
          <w:rFonts w:ascii="Times New Roman" w:hAnsi="Times New Roman" w:eastAsia="华文中宋"/>
          <w:b/>
          <w:color w:val="000000"/>
          <w:sz w:val="30"/>
          <w:szCs w:val="30"/>
        </w:rPr>
        <w:t>(</w:t>
      </w: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报告</w:t>
      </w:r>
      <w:r>
        <w:rPr>
          <w:rFonts w:ascii="Times New Roman" w:hAnsi="Times New Roman" w:eastAsia="华文中宋"/>
          <w:b/>
          <w:color w:val="000000"/>
          <w:sz w:val="30"/>
          <w:szCs w:val="30"/>
        </w:rPr>
        <w:t>)</w:t>
      </w: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考勤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为提高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学术科研能力，拓宽专业知识覆盖面，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实行集中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自由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听讲座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报告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制度，要求每位同学集中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自由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听取与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三农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</w:t>
      </w:r>
      <w:r>
        <w:rPr>
          <w:rFonts w:ascii="Times New Roman" w:hAnsi="Times New Roman" w:eastAsia="仿宋"/>
          <w:color w:val="000000"/>
          <w:sz w:val="28"/>
          <w:szCs w:val="28"/>
        </w:rPr>
        <w:t>”“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经济管理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等领域相关的讲座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报告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，一学期三次，一学年六次。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第十一条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要求提前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分钟到达会场并在班长处签到，一学期三次全勤者额外奖励</w:t>
      </w:r>
      <w:r>
        <w:rPr>
          <w:rFonts w:ascii="Times New Roman" w:hAnsi="Times New Roman" w:eastAsia="仿宋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分，一学年六次全勤者额外奖励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第十二条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一学年未听取任何讲座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报告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者扣</w:t>
      </w:r>
      <w:r>
        <w:rPr>
          <w:rFonts w:ascii="Times New Roman" w:hAnsi="Times New Roman" w:eastAsia="仿宋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第十三条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同第九条：做到非必要不请假，确实需要请假，事前要履行正常的请假手续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填写附件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1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农林经济管理专业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请假条，找支部书记廖冰同志签字，并交给班长留存备查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，事后要进行销假。履行正常请假手续者不扣分；未履行正常请假手续但事后补假条者扣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分；未履行正常请假手续且未做任何说明者以旷论处扣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四、积极发言提问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第十四条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鼓励学生积极提问与发言。凡在讲座、报告等场合积极配合提问或发言者，每人次加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第十五条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一次讲座、报告每人至多发一次言或者提一次问，不重复累加。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五、积极参与基层实践服务社会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第十六条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实行参与社会实践与服务社会制度，每名学生一学年内至少应参加一次基层社会实践服务活动，要求服务实践时间在一周（</w:t>
      </w:r>
      <w:r>
        <w:rPr>
          <w:rFonts w:ascii="Times New Roman" w:hAnsi="Times New Roman" w:eastAsia="仿宋"/>
          <w:color w:val="000000"/>
          <w:sz w:val="28"/>
          <w:szCs w:val="28"/>
        </w:rPr>
        <w:t>7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天）以上并且要有相应的新闻宣传报道、实践照片、社会实践单位盖章等证明材料。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第十七条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一学年内未参加任何社会实践活动者扣</w:t>
      </w:r>
      <w:r>
        <w:rPr>
          <w:rFonts w:ascii="Times New Roman" w:hAnsi="Times New Roman" w:eastAsia="仿宋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第十八条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若参与次数多于一次，则超过一次额外加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分，超过两次额外加</w:t>
      </w:r>
      <w:r>
        <w:rPr>
          <w:rFonts w:ascii="Times New Roman" w:hAnsi="Times New Roman" w:eastAsia="仿宋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分。依此类推，上不封顶。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六、积极建言献策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第十九条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积极提出有益于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发展的活动、意见建议、方案、想法、观点等，并被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采纳者，经过指导老师协商讨论后酌情加</w:t>
      </w:r>
      <w:r>
        <w:rPr>
          <w:rFonts w:ascii="Times New Roman" w:hAnsi="Times New Roman" w:eastAsia="仿宋"/>
          <w:color w:val="000000"/>
          <w:sz w:val="28"/>
          <w:szCs w:val="28"/>
        </w:rPr>
        <w:t>5~10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分不等。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七、课外创新创业比赛竞赛获奖与荣誉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第二十条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 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应积极参与各级各类创新创业比赛竞赛，如挑战杯、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互联网</w:t>
      </w:r>
      <w:r>
        <w:rPr>
          <w:rFonts w:ascii="Times New Roman" w:hAnsi="Times New Roman" w:eastAsia="仿宋"/>
          <w:color w:val="000000"/>
          <w:sz w:val="28"/>
          <w:szCs w:val="28"/>
        </w:rPr>
        <w:t>+”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大赛、大学生创新创业项目、调研杯、华创杯、正大杯等。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b/>
          <w:color w:val="000000"/>
          <w:sz w:val="28"/>
          <w:szCs w:val="28"/>
        </w:rPr>
        <w:t>第</w:t>
      </w: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二十一条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可作为队长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组长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或队员</w:t>
      </w:r>
      <w:r>
        <w:rPr>
          <w:rFonts w:ascii="Times New Roman" w:hAnsi="Times New Roman" w:eastAsia="仿宋"/>
          <w:color w:val="000000"/>
          <w:sz w:val="28"/>
          <w:szCs w:val="28"/>
        </w:rPr>
        <w:t>(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组员</w:t>
      </w:r>
      <w:r>
        <w:rPr>
          <w:rFonts w:ascii="Times New Roman" w:hAnsi="Times New Roman" w:eastAsia="仿宋"/>
          <w:color w:val="000000"/>
          <w:sz w:val="28"/>
          <w:szCs w:val="28"/>
        </w:rPr>
        <w:t>)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参与，每学期至少一次，每学年至少两次。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第二十二条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一学年内未参与任何比赛竞赛者直接扣</w:t>
      </w:r>
      <w:r>
        <w:rPr>
          <w:rFonts w:ascii="Times New Roman" w:hAnsi="Times New Roman" w:eastAsia="仿宋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分。若参与次数在两次及以上，则超过一次额外加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分，超过两次额外加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分。依此类推，上不封顶。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第二十三条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参加国家级比赛且获奖者，一等奖加</w:t>
      </w:r>
      <w:r>
        <w:rPr>
          <w:rFonts w:ascii="Times New Roman" w:hAnsi="Times New Roman" w:eastAsia="仿宋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分，二等奖加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分，三等奖加</w:t>
      </w:r>
      <w:r>
        <w:rPr>
          <w:rFonts w:ascii="Times New Roman" w:hAnsi="Times New Roman" w:eastAsia="仿宋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分，优胜奖或鼓励奖加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分。参加省级比赛且获奖者，一等奖加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分，二等奖加</w:t>
      </w:r>
      <w:r>
        <w:rPr>
          <w:rFonts w:ascii="Times New Roman" w:hAnsi="Times New Roman" w:eastAsia="仿宋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分，三等奖加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分，优胜奖或鼓励奖加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分。参加校级比赛且获奖者，一等奖加</w:t>
      </w:r>
      <w:r>
        <w:rPr>
          <w:rFonts w:ascii="Times New Roman" w:hAnsi="Times New Roman" w:eastAsia="仿宋"/>
          <w:color w:val="000000"/>
          <w:sz w:val="28"/>
          <w:szCs w:val="28"/>
        </w:rPr>
        <w:t>8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分，二等奖加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分，三等奖加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分，优胜奖或鼓励奖加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分。参加院级比赛且获奖者，一等奖加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分，二等奖加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分，三等奖加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分，优胜奖或鼓励奖加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分。此外，国家奖学金、国家励志奖学金未明确获奖等级，分别加</w:t>
      </w:r>
      <w:r>
        <w:rPr>
          <w:rFonts w:ascii="Times New Roman" w:hAnsi="Times New Roman" w:eastAsia="仿宋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分、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分。获奖等级的认定以落款盖章级别为准。第一作者得分</w:t>
      </w:r>
      <w:r>
        <w:rPr>
          <w:rFonts w:ascii="Times New Roman" w:hAnsi="Times New Roman" w:eastAsia="仿宋"/>
          <w:color w:val="000000"/>
          <w:sz w:val="28"/>
          <w:szCs w:val="28"/>
        </w:rPr>
        <w:t>100%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，后面作者按</w:t>
      </w:r>
      <w:r>
        <w:rPr>
          <w:rFonts w:ascii="Times New Roman" w:hAnsi="Times New Roman" w:eastAsia="仿宋"/>
          <w:color w:val="000000"/>
          <w:sz w:val="28"/>
          <w:szCs w:val="28"/>
        </w:rPr>
        <w:t>“1/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排位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计算得分，比如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个作者，排第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3/4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2/4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1/4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。依此类推。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第二十四条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鼓励大家积极获取省级及以上荣誉，获国家级荣誉加</w:t>
      </w:r>
      <w:r>
        <w:rPr>
          <w:rFonts w:ascii="Times New Roman" w:hAnsi="Times New Roman" w:eastAsia="仿宋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分，获省级荣誉加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分。此外，获校级荣誉加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分，获院级荣誉加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分。同一级别荣誉可累加，上不封顶。同一内容获得不同级别荣誉，就高不就低。荣誉等级的认定以落款盖章级别为准。荣誉第一排名得分</w:t>
      </w:r>
      <w:r>
        <w:rPr>
          <w:rFonts w:ascii="Times New Roman" w:hAnsi="Times New Roman" w:eastAsia="仿宋"/>
          <w:color w:val="000000"/>
          <w:sz w:val="28"/>
          <w:szCs w:val="28"/>
        </w:rPr>
        <w:t>100%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，后面排名按</w:t>
      </w:r>
      <w:r>
        <w:rPr>
          <w:rFonts w:ascii="Times New Roman" w:hAnsi="Times New Roman" w:eastAsia="仿宋"/>
          <w:color w:val="000000"/>
          <w:sz w:val="28"/>
          <w:szCs w:val="28"/>
        </w:rPr>
        <w:t>“1/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排名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计算得分，比如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个作者，排第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3/4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2/4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1/4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。依此类推。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八、发表论文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第二十五条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在</w:t>
      </w:r>
      <w:r>
        <w:rPr>
          <w:rFonts w:ascii="Times New Roman" w:hAnsi="Times New Roman" w:eastAsia="仿宋"/>
          <w:color w:val="000000"/>
          <w:sz w:val="28"/>
          <w:szCs w:val="28"/>
        </w:rPr>
        <w:t>SCI/SSCI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、</w:t>
      </w:r>
      <w:r>
        <w:rPr>
          <w:rFonts w:ascii="Times New Roman" w:hAnsi="Times New Roman" w:eastAsia="仿宋"/>
          <w:color w:val="000000"/>
          <w:sz w:val="28"/>
          <w:szCs w:val="28"/>
        </w:rPr>
        <w:t>CSSCI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核心版</w:t>
      </w:r>
      <w:r>
        <w:rPr>
          <w:rFonts w:ascii="Times New Roman" w:hAnsi="Times New Roman" w:eastAsia="仿宋"/>
          <w:color w:val="000000"/>
          <w:sz w:val="28"/>
          <w:szCs w:val="28"/>
        </w:rPr>
        <w:t>/CSCD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核心版</w:t>
      </w:r>
      <w:r>
        <w:rPr>
          <w:rFonts w:ascii="Times New Roman" w:hAnsi="Times New Roman" w:eastAsia="仿宋"/>
          <w:color w:val="000000"/>
          <w:sz w:val="28"/>
          <w:szCs w:val="28"/>
        </w:rPr>
        <w:t>/EI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收录期刊、</w:t>
      </w:r>
      <w:r>
        <w:rPr>
          <w:rFonts w:ascii="Times New Roman" w:hAnsi="Times New Roman" w:eastAsia="仿宋"/>
          <w:color w:val="000000"/>
          <w:sz w:val="28"/>
          <w:szCs w:val="28"/>
        </w:rPr>
        <w:t>CSSCI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扩展版</w:t>
      </w:r>
      <w:r>
        <w:rPr>
          <w:rFonts w:ascii="Times New Roman" w:hAnsi="Times New Roman" w:eastAsia="仿宋"/>
          <w:color w:val="000000"/>
          <w:sz w:val="28"/>
          <w:szCs w:val="28"/>
        </w:rPr>
        <w:t>/CSCD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扩展版</w:t>
      </w:r>
      <w:r>
        <w:rPr>
          <w:rFonts w:ascii="Times New Roman" w:hAnsi="Times New Roman" w:eastAsia="仿宋"/>
          <w:color w:val="000000"/>
          <w:sz w:val="28"/>
          <w:szCs w:val="28"/>
        </w:rPr>
        <w:t>/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北大中文核心、中国科技核心期刊</w:t>
      </w:r>
      <w:r>
        <w:rPr>
          <w:rFonts w:ascii="Times New Roman" w:hAnsi="Times New Roman" w:eastAsia="仿宋"/>
          <w:color w:val="000000"/>
          <w:sz w:val="28"/>
          <w:szCs w:val="28"/>
        </w:rPr>
        <w:t>/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社科院核心期刊、普通期刊等发表论文，分别加</w:t>
      </w:r>
      <w:r>
        <w:rPr>
          <w:rFonts w:ascii="Times New Roman" w:hAnsi="Times New Roman" w:eastAsia="仿宋"/>
          <w:color w:val="000000"/>
          <w:sz w:val="28"/>
          <w:szCs w:val="28"/>
        </w:rPr>
        <w:t>30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分、</w:t>
      </w:r>
      <w:r>
        <w:rPr>
          <w:rFonts w:ascii="Times New Roman" w:hAnsi="Times New Roman" w:eastAsia="仿宋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分、</w:t>
      </w:r>
      <w:r>
        <w:rPr>
          <w:rFonts w:ascii="Times New Roman" w:hAnsi="Times New Roman" w:eastAsia="仿宋"/>
          <w:color w:val="000000"/>
          <w:sz w:val="28"/>
          <w:szCs w:val="28"/>
        </w:rPr>
        <w:t>15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分、</w:t>
      </w:r>
      <w:r>
        <w:rPr>
          <w:rFonts w:ascii="Times New Roman" w:hAnsi="Times New Roman" w:eastAsia="仿宋"/>
          <w:color w:val="000000"/>
          <w:sz w:val="28"/>
          <w:szCs w:val="28"/>
        </w:rPr>
        <w:t>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分、</w:t>
      </w:r>
      <w:r>
        <w:rPr>
          <w:rFonts w:ascii="Times New Roman" w:hAnsi="Times New Roman" w:eastAsia="仿宋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分。第一作者得分</w:t>
      </w:r>
      <w:r>
        <w:rPr>
          <w:rFonts w:ascii="Times New Roman" w:hAnsi="Times New Roman" w:eastAsia="仿宋"/>
          <w:color w:val="000000"/>
          <w:sz w:val="28"/>
          <w:szCs w:val="28"/>
        </w:rPr>
        <w:t>100%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，后面作者按</w:t>
      </w:r>
      <w:r>
        <w:rPr>
          <w:rFonts w:ascii="Times New Roman" w:hAnsi="Times New Roman" w:eastAsia="仿宋"/>
          <w:color w:val="000000"/>
          <w:sz w:val="28"/>
          <w:szCs w:val="28"/>
        </w:rPr>
        <w:t>“1/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排位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方式计算得分，比如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个作者，排第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3/4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2/4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，排第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者得分</w:t>
      </w:r>
      <w:r>
        <w:rPr>
          <w:rFonts w:ascii="Times New Roman" w:hAnsi="Times New Roman" w:eastAsia="仿宋"/>
          <w:color w:val="000000"/>
          <w:sz w:val="28"/>
          <w:szCs w:val="28"/>
        </w:rPr>
        <w:t>1/4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。依此类推。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九、国家英语四、六级考试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第二十六条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通过国家英语四级考试一次性加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分，通过国家英语六级考试一次性加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分，可累加。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三年期间仅限加一次，最多加至</w:t>
      </w:r>
      <w:r>
        <w:rPr>
          <w:rFonts w:ascii="Times New Roman" w:hAnsi="Times New Roman" w:eastAsia="仿宋"/>
          <w:color w:val="000000"/>
          <w:sz w:val="28"/>
          <w:szCs w:val="28"/>
        </w:rPr>
        <w:t>6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十、官方宣传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第二十七条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积极配合实验班的各项宣传工作，如分享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微信公众号推文，每条加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分；为宣传工作投稿并采用的</w:t>
      </w:r>
      <w:r>
        <w:rPr>
          <w:rFonts w:ascii="Times New Roman" w:hAnsi="Times New Roman" w:eastAsia="仿宋"/>
          <w:color w:val="000000"/>
          <w:sz w:val="28"/>
          <w:szCs w:val="28"/>
        </w:rPr>
        <w:t>3000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字以下的新闻稿每篇加</w:t>
      </w:r>
      <w:r>
        <w:rPr>
          <w:rFonts w:ascii="Times New Roman" w:hAnsi="Times New Roman" w:eastAsia="仿宋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分；撰写个人心得、体会、感想且字数在</w:t>
      </w:r>
      <w:r>
        <w:rPr>
          <w:rFonts w:ascii="Times New Roman" w:hAnsi="Times New Roman" w:eastAsia="仿宋"/>
          <w:color w:val="000000"/>
          <w:sz w:val="28"/>
          <w:szCs w:val="28"/>
        </w:rPr>
        <w:t>3000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字以上者，每篇加</w:t>
      </w:r>
      <w:r>
        <w:rPr>
          <w:rFonts w:ascii="Times New Roman" w:hAnsi="Times New Roman" w:eastAsia="仿宋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分。依此类推，上不封顶。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十一、评优评先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第二十八条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为表彰先进，形成典范，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实行月度优秀学生、学期优秀学生、年度优秀学生评选制度。月度优秀学生每月评选一次，每次评选五名学生；学期优秀学生每学期评选一次，每次评选三名学生；年度优秀学生每学年评选一次，每次评选一名学生。连续三次获评月度优秀学生者直接晋级学期优秀学生，连续两次获评学期优秀学生者直接晋级年度优秀学生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第二十九条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获评月度优秀学生、学期优秀学生、年度优秀学生者将颁发荣誉证书与奖品，并在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微信公众号上进行公示，为其他学生树立标杆示范。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第三十条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受到全院或全校通报批评、发生意识形态错误等对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产生负面影响者视情节严重一次性扣除</w:t>
      </w:r>
      <w:r>
        <w:rPr>
          <w:rFonts w:ascii="Times New Roman" w:hAnsi="Times New Roman" w:eastAsia="仿宋"/>
          <w:color w:val="000000"/>
          <w:sz w:val="28"/>
          <w:szCs w:val="28"/>
        </w:rPr>
        <w:t>5~10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分不等，并取消本月内一切评优评先资格。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第三十一条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根据考核得分与等级认定来进行个人评优评先。</w:t>
      </w:r>
    </w:p>
    <w:p>
      <w:pPr>
        <w:spacing w:line="600" w:lineRule="exact"/>
        <w:jc w:val="center"/>
        <w:outlineLvl w:val="0"/>
        <w:rPr>
          <w:rFonts w:ascii="Times New Roman" w:hAnsi="Times New Roman" w:eastAsia="黑体"/>
          <w:b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b/>
          <w:color w:val="000000"/>
          <w:sz w:val="30"/>
          <w:szCs w:val="30"/>
        </w:rPr>
        <w:t>十二、其他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第三十二条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本考核办法最终解释权归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指导老师所有。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第三十三条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未尽事宜，由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指导老师负责解释。</w:t>
      </w:r>
    </w:p>
    <w:p>
      <w:pPr>
        <w:spacing w:line="60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b/>
          <w:color w:val="000000"/>
          <w:sz w:val="28"/>
          <w:szCs w:val="28"/>
        </w:rPr>
        <w:t>第三十四条</w:t>
      </w:r>
      <w:r>
        <w:rPr>
          <w:rFonts w:ascii="Times New Roman" w:hAnsi="Times New Roman" w:eastAsia="楷体_GB2312"/>
          <w:b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本考核办法自</w:t>
      </w:r>
      <w:r>
        <w:rPr>
          <w:rFonts w:ascii="Times New Roman" w:hAnsi="Times New Roman" w:eastAsia="仿宋"/>
          <w:color w:val="000000"/>
          <w:sz w:val="28"/>
          <w:szCs w:val="28"/>
        </w:rPr>
        <w:t>2021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年</w:t>
      </w:r>
      <w:r>
        <w:rPr>
          <w:rFonts w:ascii="Times New Roman" w:hAnsi="Times New Roman" w:eastAsia="仿宋"/>
          <w:color w:val="000000"/>
          <w:sz w:val="28"/>
          <w:szCs w:val="28"/>
        </w:rPr>
        <w:t>12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月</w:t>
      </w:r>
      <w:r>
        <w:rPr>
          <w:rFonts w:ascii="Times New Roman" w:hAnsi="Times New Roman" w:eastAsia="仿宋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日起实施。</w:t>
      </w:r>
    </w:p>
    <w:p>
      <w:pPr>
        <w:adjustRightInd w:val="0"/>
        <w:spacing w:line="600" w:lineRule="exact"/>
        <w:jc w:val="righ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sz w:val="28"/>
          <w:szCs w:val="28"/>
        </w:rPr>
        <w:t>农林经济管理专业</w:t>
      </w:r>
      <w:r>
        <w:rPr>
          <w:rFonts w:ascii="Times New Roman" w:hAnsi="Times New Roman" w:eastAsia="仿宋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乡村振兴班</w:t>
      </w:r>
      <w:r>
        <w:rPr>
          <w:rFonts w:ascii="Times New Roman" w:hAnsi="Times New Roman" w:eastAsia="仿宋"/>
          <w:color w:val="000000"/>
          <w:sz w:val="28"/>
          <w:szCs w:val="28"/>
        </w:rPr>
        <w:t>”</w:t>
      </w:r>
    </w:p>
    <w:p>
      <w:pPr>
        <w:pStyle w:val="7"/>
        <w:spacing w:line="600" w:lineRule="exact"/>
        <w:ind w:firstLine="0" w:firstLineChars="0"/>
        <w:jc w:val="right"/>
        <w:rPr>
          <w:rFonts w:ascii="Times New Roman" w:hAnsi="Times New Roman" w:eastAsia="仿宋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                             2021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年</w:t>
      </w:r>
      <w:r>
        <w:rPr>
          <w:rFonts w:ascii="Times New Roman" w:hAnsi="Times New Roman" w:eastAsia="仿宋"/>
          <w:color w:val="000000"/>
          <w:sz w:val="28"/>
          <w:szCs w:val="28"/>
        </w:rPr>
        <w:t>11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月</w:t>
      </w:r>
      <w:r>
        <w:rPr>
          <w:rFonts w:ascii="Times New Roman" w:hAnsi="Times New Roman" w:eastAsia="仿宋"/>
          <w:color w:val="000000"/>
          <w:sz w:val="28"/>
          <w:szCs w:val="28"/>
        </w:rPr>
        <w:t>27</w:t>
      </w:r>
      <w:r>
        <w:rPr>
          <w:rFonts w:hint="eastAsia" w:ascii="Times New Roman" w:hAnsi="Times New Roman" w:eastAsia="仿宋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/>
        <w:sz w:val="21"/>
        <w:szCs w:val="21"/>
      </w:rPr>
    </w:pPr>
    <w:r>
      <w:rPr>
        <w:rStyle w:val="6"/>
        <w:rFonts w:ascii="Times New Roman" w:hAnsi="Times New Roman"/>
        <w:sz w:val="21"/>
        <w:szCs w:val="21"/>
      </w:rPr>
      <w:fldChar w:fldCharType="begin"/>
    </w:r>
    <w:r>
      <w:rPr>
        <w:rStyle w:val="6"/>
        <w:rFonts w:ascii="Times New Roman" w:hAnsi="Times New Roman"/>
        <w:sz w:val="21"/>
        <w:szCs w:val="21"/>
      </w:rPr>
      <w:instrText xml:space="preserve">PAGE  </w:instrText>
    </w:r>
    <w:r>
      <w:rPr>
        <w:rStyle w:val="6"/>
        <w:rFonts w:ascii="Times New Roman" w:hAnsi="Times New Roman"/>
        <w:sz w:val="21"/>
        <w:szCs w:val="21"/>
      </w:rPr>
      <w:fldChar w:fldCharType="separate"/>
    </w:r>
    <w:r>
      <w:rPr>
        <w:rStyle w:val="6"/>
        <w:rFonts w:ascii="Times New Roman" w:hAnsi="Times New Roman"/>
        <w:sz w:val="21"/>
        <w:szCs w:val="21"/>
      </w:rPr>
      <w:t>25</w:t>
    </w:r>
    <w:r>
      <w:rPr>
        <w:rStyle w:val="6"/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ascii="Times New Roman" w:hAnsi="Times New Roman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TEzYTgyZDBhYjcyYmU4ZjBkYTRkMDc3ZjA0NWEifQ=="/>
  </w:docVars>
  <w:rsids>
    <w:rsidRoot w:val="4EFF0552"/>
    <w:rsid w:val="4E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2022-04-30T09:22:00Z</dcterms:created>
  <dc:creator>@</dc:creator>
  <cp:lastModifiedBy>@</cp:lastModifiedBy>
  <dcterms:modified xsi:type="dcterms:W3CDTF">2022-04-30T09:22:23Z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A5135E2B934248308A9683230C9900B5</vt:lpwstr>
  </property>
</Properties>
</file>